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E11BD8E" w14:textId="77777777" w:rsidR="006F2221" w:rsidRDefault="006F2221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9504520"/>
            <w:r w:rsidRPr="006F2221">
              <w:rPr>
                <w:rFonts w:ascii="Times New Roman" w:hAnsi="Times New Roman"/>
                <w:sz w:val="24"/>
                <w:szCs w:val="24"/>
              </w:rPr>
              <w:t>Автоматичний гематологічний аналізатор КТ-60 або еквівалент</w:t>
            </w:r>
          </w:p>
          <w:p w14:paraId="16F3DE48" w14:textId="29A1B6CC" w:rsidR="006F2221" w:rsidRDefault="006F2221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1">
              <w:rPr>
                <w:rFonts w:ascii="Times New Roman" w:hAnsi="Times New Roman"/>
                <w:sz w:val="24"/>
                <w:szCs w:val="24"/>
              </w:rPr>
              <w:t>(НК 024:2019 35476 Аналізатор гематологічний IVD, автоматичний)</w:t>
            </w:r>
          </w:p>
          <w:p w14:paraId="2677E6F8" w14:textId="40DAFE1C" w:rsidR="00FB480F" w:rsidRPr="005D4B1A" w:rsidRDefault="006F2221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1">
              <w:rPr>
                <w:rFonts w:ascii="Times New Roman" w:hAnsi="Times New Roman"/>
                <w:sz w:val="24"/>
                <w:szCs w:val="24"/>
              </w:rPr>
              <w:t>ДК 021:2015 38430000-8 Детектори та аналізатори</w:t>
            </w:r>
            <w:bookmarkEnd w:id="1"/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6D1E1ECF" w:rsidR="00FB480F" w:rsidRPr="005D4B1A" w:rsidRDefault="006F2221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F2221">
              <w:rPr>
                <w:rFonts w:ascii="Times New Roman" w:hAnsi="Times New Roman"/>
                <w:sz w:val="24"/>
                <w:szCs w:val="24"/>
              </w:rPr>
              <w:t>UA-2022-11-22-017299-a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07A85533" w14:textId="65F4B3CA" w:rsidR="00BF7BE0" w:rsidRDefault="00BF7BE0" w:rsidP="00AC31D2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з урахуванням специфіки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проведення гематологічних досліджень автоматичним способом</w:t>
            </w:r>
            <w:r w:rsidR="006916D9">
              <w:rPr>
                <w:rFonts w:ascii="Times New Roman" w:hAnsi="Times New Roman"/>
                <w:sz w:val="24"/>
                <w:szCs w:val="24"/>
              </w:rPr>
              <w:t xml:space="preserve"> та забезпечують:</w:t>
            </w:r>
          </w:p>
          <w:p w14:paraId="1968401C" w14:textId="28EE5F75" w:rsidR="006916D9" w:rsidRDefault="006916D9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більшої кількості параметрів в загальному аналізі крові в порівнянні з ручною обробкою зразків крові;</w:t>
            </w:r>
          </w:p>
          <w:p w14:paraId="1D29BF77" w14:textId="0E21EE7B" w:rsidR="006916D9" w:rsidRDefault="00D20220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20">
              <w:rPr>
                <w:rFonts w:ascii="Times New Roman" w:hAnsi="Times New Roman"/>
                <w:sz w:val="24"/>
                <w:szCs w:val="24"/>
              </w:rPr>
              <w:t>підрахун</w:t>
            </w:r>
            <w:r w:rsidR="00691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220">
              <w:rPr>
                <w:rFonts w:ascii="Times New Roman" w:hAnsi="Times New Roman"/>
                <w:sz w:val="24"/>
                <w:szCs w:val="24"/>
              </w:rPr>
              <w:t>к для зразків низького значення з необхідною лише 9 мкл цільної кр</w:t>
            </w:r>
            <w:r w:rsidR="006916D9">
              <w:rPr>
                <w:rFonts w:ascii="Times New Roman" w:hAnsi="Times New Roman"/>
                <w:sz w:val="24"/>
                <w:szCs w:val="24"/>
              </w:rPr>
              <w:t>ові;</w:t>
            </w:r>
          </w:p>
          <w:p w14:paraId="1533AF87" w14:textId="4DA55919" w:rsidR="00AC31D2" w:rsidRDefault="00AC31D2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високу точність та відтворюваність повторних результатів досліджень</w:t>
            </w:r>
            <w:r>
              <w:t xml:space="preserve"> </w:t>
            </w:r>
            <w:r w:rsidRPr="00AC31D2">
              <w:rPr>
                <w:rFonts w:ascii="Times New Roman" w:hAnsi="Times New Roman"/>
                <w:sz w:val="24"/>
                <w:szCs w:val="24"/>
              </w:rPr>
              <w:t>в порівнянні з ручною обробкою зразків крові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1C87A1" w14:textId="58353E0F" w:rsidR="00AC31D2" w:rsidRDefault="00AC31D2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високу</w:t>
            </w:r>
            <w:r w:rsidRPr="00D20220">
              <w:rPr>
                <w:rFonts w:ascii="Times New Roman" w:hAnsi="Times New Roman"/>
                <w:sz w:val="24"/>
                <w:szCs w:val="24"/>
              </w:rPr>
              <w:t xml:space="preserve"> пропускн</w:t>
            </w:r>
            <w:r>
              <w:rPr>
                <w:rFonts w:ascii="Times New Roman" w:hAnsi="Times New Roman"/>
                <w:sz w:val="24"/>
                <w:szCs w:val="24"/>
              </w:rPr>
              <w:t>у здатність;</w:t>
            </w:r>
          </w:p>
          <w:p w14:paraId="1BD45127" w14:textId="0222516F" w:rsidR="00AC31D2" w:rsidRDefault="00AC31D2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оперативного та максимально розгорнутого результату дослідження крові;</w:t>
            </w:r>
          </w:p>
          <w:p w14:paraId="0CADD47A" w14:textId="42D97102" w:rsidR="006916D9" w:rsidRPr="00AC31D2" w:rsidRDefault="006916D9" w:rsidP="00AC31D2">
            <w:pPr>
              <w:pStyle w:val="ac"/>
              <w:numPr>
                <w:ilvl w:val="0"/>
                <w:numId w:val="6"/>
              </w:numPr>
              <w:spacing w:before="60" w:after="6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проведення контролю якості згідно з </w:t>
            </w:r>
            <w:r w:rsidR="00AC31D2">
              <w:rPr>
                <w:rFonts w:ascii="Times New Roman" w:hAnsi="Times New Roman"/>
                <w:sz w:val="24"/>
                <w:szCs w:val="24"/>
              </w:rPr>
              <w:t xml:space="preserve">європейськими стандартами </w:t>
            </w:r>
            <w:r w:rsidR="00AC31D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AC31D2" w:rsidRPr="00AC31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15189 </w:t>
            </w:r>
            <w:r w:rsidR="00AC31D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AC31D2" w:rsidRPr="00AC31D2">
              <w:rPr>
                <w:rFonts w:ascii="Times New Roman" w:hAnsi="Times New Roman"/>
                <w:sz w:val="24"/>
                <w:szCs w:val="24"/>
              </w:rPr>
              <w:t>ISO</w:t>
            </w:r>
            <w:r w:rsidR="00AC31D2">
              <w:rPr>
                <w:rFonts w:ascii="Times New Roman" w:hAnsi="Times New Roman"/>
                <w:sz w:val="24"/>
                <w:szCs w:val="24"/>
              </w:rPr>
              <w:t xml:space="preserve"> 17025;</w:t>
            </w:r>
          </w:p>
          <w:p w14:paraId="6AE46DED" w14:textId="34EDE7C8" w:rsidR="00BF7BE0" w:rsidRPr="005D4B1A" w:rsidRDefault="006916D9" w:rsidP="00AC31D2">
            <w:pPr>
              <w:pStyle w:val="ac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0220" w:rsidRPr="00D20220">
              <w:rPr>
                <w:rFonts w:ascii="Times New Roman" w:hAnsi="Times New Roman"/>
                <w:sz w:val="24"/>
                <w:szCs w:val="24"/>
              </w:rPr>
              <w:t>изьке споживання реактивів.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D4C875" w14:textId="0D2FA484" w:rsidR="00901DFD" w:rsidRDefault="00FB480F" w:rsidP="00901DFD">
            <w:pPr>
              <w:pStyle w:val="ac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</w:t>
            </w:r>
            <w:bookmarkStart w:id="2" w:name="_GoBack"/>
            <w:bookmarkEnd w:id="2"/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зокрема на підставі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аналізу отриманих цінових пропозицій від учасників</w:t>
            </w:r>
            <w:r w:rsidR="00886968"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ринку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Очікувана вартість визначена, як середньоарифметичне значення масиву отриманих даних</w:t>
            </w:r>
            <w:r w:rsid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та складає </w:t>
            </w:r>
            <w:r w:rsidR="00901DFD"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323 000,00 грн.</w:t>
            </w:r>
          </w:p>
          <w:p w14:paraId="18CC1657" w14:textId="4AA5B31A" w:rsidR="006F2221" w:rsidRPr="006F2221" w:rsidRDefault="00901DFD" w:rsidP="00901DFD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Розмір бюджетного призначення згідно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кошторисом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2022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закупівлю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автоматичного гематологічного аналізатора складає </w:t>
            </w:r>
            <w:r w:rsidRPr="00901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323 000,00 грн.</w:t>
            </w:r>
          </w:p>
        </w:tc>
      </w:tr>
    </w:tbl>
    <w:p w14:paraId="56150DBA" w14:textId="6B1B0C70" w:rsidR="00F65AF4" w:rsidRPr="00B22825" w:rsidRDefault="00F65AF4" w:rsidP="00901DFD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16D9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6C86-4656-48F2-9C78-8A8B60A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5</cp:revision>
  <cp:lastPrinted>2022-11-17T12:11:00Z</cp:lastPrinted>
  <dcterms:created xsi:type="dcterms:W3CDTF">2022-11-21T10:28:00Z</dcterms:created>
  <dcterms:modified xsi:type="dcterms:W3CDTF">2022-11-25T12:30:00Z</dcterms:modified>
</cp:coreProperties>
</file>