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47F2" w14:textId="46A02123"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14:paraId="02EAE50B" w14:textId="77777777"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14:paraId="5891E9BA" w14:textId="237139F5"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14:paraId="70C0641A" w14:textId="473B9FAE"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44"/>
        <w:gridCol w:w="7371"/>
      </w:tblGrid>
      <w:tr w:rsidR="000207B3" w:rsidRPr="00B22825" w14:paraId="5E1AF581" w14:textId="77777777" w:rsidTr="00A514E0">
        <w:tc>
          <w:tcPr>
            <w:tcW w:w="591" w:type="dxa"/>
            <w:shd w:val="clear" w:color="auto" w:fill="auto"/>
          </w:tcPr>
          <w:p w14:paraId="1CD0A228" w14:textId="77777777" w:rsidR="000207B3" w:rsidRPr="00B22825" w:rsidRDefault="000207B3" w:rsidP="00900D4D">
            <w:pPr>
              <w:pStyle w:val="ac"/>
              <w:spacing w:before="60" w:after="60"/>
              <w:jc w:val="center"/>
              <w:rPr>
                <w:rFonts w:ascii="Times New Roman" w:hAnsi="Times New Roman"/>
                <w:sz w:val="24"/>
                <w:szCs w:val="24"/>
              </w:rPr>
            </w:pPr>
            <w:r w:rsidRPr="00B22825">
              <w:rPr>
                <w:rFonts w:ascii="Times New Roman" w:hAnsi="Times New Roman"/>
                <w:sz w:val="24"/>
                <w:szCs w:val="24"/>
              </w:rPr>
              <w:t>1</w:t>
            </w:r>
          </w:p>
        </w:tc>
        <w:tc>
          <w:tcPr>
            <w:tcW w:w="2244" w:type="dxa"/>
            <w:shd w:val="clear" w:color="auto" w:fill="auto"/>
          </w:tcPr>
          <w:p w14:paraId="0AE9AACE" w14:textId="7DDD2B92" w:rsidR="000207B3" w:rsidRPr="00B22825" w:rsidRDefault="000207B3" w:rsidP="00900D4D">
            <w:pPr>
              <w:pStyle w:val="ac"/>
              <w:spacing w:before="60" w:after="60"/>
              <w:jc w:val="center"/>
              <w:rPr>
                <w:rFonts w:ascii="Times New Roman" w:hAnsi="Times New Roman"/>
                <w:b/>
                <w:sz w:val="24"/>
                <w:szCs w:val="24"/>
              </w:rPr>
            </w:pPr>
            <w:r w:rsidRPr="00B22825">
              <w:rPr>
                <w:rFonts w:ascii="Times New Roman" w:hAnsi="Times New Roman"/>
                <w:b/>
                <w:sz w:val="24"/>
                <w:szCs w:val="24"/>
              </w:rPr>
              <w:t>Замовник</w:t>
            </w:r>
          </w:p>
        </w:tc>
        <w:tc>
          <w:tcPr>
            <w:tcW w:w="7371" w:type="dxa"/>
            <w:shd w:val="clear" w:color="auto" w:fill="auto"/>
            <w:vAlign w:val="center"/>
          </w:tcPr>
          <w:p w14:paraId="414A653F" w14:textId="5C14D4D0" w:rsidR="000207B3" w:rsidRPr="005D4B1A" w:rsidRDefault="000207B3" w:rsidP="00900D4D">
            <w:pPr>
              <w:pStyle w:val="ac"/>
              <w:spacing w:before="60" w:after="6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8)</w:t>
            </w:r>
          </w:p>
        </w:tc>
      </w:tr>
      <w:tr w:rsidR="00FB480F" w:rsidRPr="00B22825" w14:paraId="60E470AA" w14:textId="77777777" w:rsidTr="00A514E0">
        <w:trPr>
          <w:trHeight w:val="783"/>
        </w:trPr>
        <w:tc>
          <w:tcPr>
            <w:tcW w:w="591" w:type="dxa"/>
            <w:shd w:val="clear" w:color="auto" w:fill="auto"/>
          </w:tcPr>
          <w:p w14:paraId="4B494AFA" w14:textId="77777777" w:rsidR="00FB480F" w:rsidRPr="00B22825" w:rsidRDefault="00FB480F" w:rsidP="00900D4D">
            <w:pPr>
              <w:pStyle w:val="ac"/>
              <w:spacing w:before="60" w:after="60"/>
              <w:jc w:val="center"/>
              <w:rPr>
                <w:rFonts w:ascii="Times New Roman" w:hAnsi="Times New Roman"/>
                <w:sz w:val="24"/>
                <w:szCs w:val="24"/>
              </w:rPr>
            </w:pPr>
            <w:r w:rsidRPr="00B22825">
              <w:rPr>
                <w:rFonts w:ascii="Times New Roman" w:hAnsi="Times New Roman"/>
                <w:sz w:val="24"/>
                <w:szCs w:val="24"/>
              </w:rPr>
              <w:t>2</w:t>
            </w:r>
          </w:p>
        </w:tc>
        <w:tc>
          <w:tcPr>
            <w:tcW w:w="2244" w:type="dxa"/>
            <w:shd w:val="clear" w:color="auto" w:fill="auto"/>
          </w:tcPr>
          <w:p w14:paraId="55CE2EFD" w14:textId="77777777" w:rsidR="00FB480F" w:rsidRPr="00B22825" w:rsidRDefault="00FB480F" w:rsidP="00900D4D">
            <w:pPr>
              <w:pStyle w:val="ac"/>
              <w:spacing w:before="60" w:after="60"/>
              <w:jc w:val="center"/>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371" w:type="dxa"/>
            <w:shd w:val="clear" w:color="auto" w:fill="auto"/>
          </w:tcPr>
          <w:p w14:paraId="68B3DE23" w14:textId="77777777" w:rsidR="00AC0308" w:rsidRPr="00AC0308" w:rsidRDefault="00AC0308" w:rsidP="00900D4D">
            <w:pPr>
              <w:pStyle w:val="ac"/>
              <w:spacing w:before="60" w:after="60"/>
              <w:jc w:val="both"/>
              <w:rPr>
                <w:rFonts w:ascii="Times New Roman" w:hAnsi="Times New Roman"/>
                <w:sz w:val="24"/>
                <w:szCs w:val="24"/>
              </w:rPr>
            </w:pPr>
            <w:r w:rsidRPr="00AC0308">
              <w:rPr>
                <w:rFonts w:ascii="Times New Roman" w:hAnsi="Times New Roman"/>
                <w:sz w:val="24"/>
                <w:szCs w:val="24"/>
              </w:rPr>
              <w:t>Природний газ</w:t>
            </w:r>
          </w:p>
          <w:p w14:paraId="2677E6F8" w14:textId="575DC8BE" w:rsidR="00FB480F" w:rsidRPr="005D4B1A" w:rsidRDefault="00AC0308" w:rsidP="00900D4D">
            <w:pPr>
              <w:pStyle w:val="ac"/>
              <w:spacing w:before="60" w:after="60"/>
              <w:jc w:val="both"/>
              <w:rPr>
                <w:rFonts w:ascii="Times New Roman" w:hAnsi="Times New Roman"/>
                <w:sz w:val="24"/>
                <w:szCs w:val="24"/>
              </w:rPr>
            </w:pPr>
            <w:r w:rsidRPr="00AC0308">
              <w:rPr>
                <w:rFonts w:ascii="Times New Roman" w:hAnsi="Times New Roman"/>
                <w:sz w:val="24"/>
                <w:szCs w:val="24"/>
              </w:rPr>
              <w:t>ДК 021:2015 09120000-6 – Газове паливо</w:t>
            </w:r>
          </w:p>
        </w:tc>
      </w:tr>
      <w:tr w:rsidR="00FB480F" w:rsidRPr="00B22825" w14:paraId="501113FC" w14:textId="77777777" w:rsidTr="00A514E0">
        <w:tc>
          <w:tcPr>
            <w:tcW w:w="591" w:type="dxa"/>
            <w:shd w:val="clear" w:color="auto" w:fill="auto"/>
          </w:tcPr>
          <w:p w14:paraId="36C308EB" w14:textId="77777777" w:rsidR="00FB480F" w:rsidRPr="00B22825" w:rsidRDefault="00FB480F" w:rsidP="00900D4D">
            <w:pPr>
              <w:pStyle w:val="ac"/>
              <w:spacing w:before="60" w:after="60"/>
              <w:jc w:val="center"/>
              <w:rPr>
                <w:rFonts w:ascii="Times New Roman" w:hAnsi="Times New Roman"/>
                <w:sz w:val="24"/>
                <w:szCs w:val="24"/>
              </w:rPr>
            </w:pPr>
            <w:r w:rsidRPr="00B22825">
              <w:rPr>
                <w:rFonts w:ascii="Times New Roman" w:hAnsi="Times New Roman"/>
                <w:sz w:val="24"/>
                <w:szCs w:val="24"/>
              </w:rPr>
              <w:t>3</w:t>
            </w:r>
          </w:p>
        </w:tc>
        <w:tc>
          <w:tcPr>
            <w:tcW w:w="2244" w:type="dxa"/>
            <w:shd w:val="clear" w:color="auto" w:fill="auto"/>
          </w:tcPr>
          <w:p w14:paraId="7339ED12" w14:textId="77777777" w:rsidR="00FB480F" w:rsidRPr="00B22825" w:rsidRDefault="00FB480F" w:rsidP="00900D4D">
            <w:pPr>
              <w:pStyle w:val="ac"/>
              <w:spacing w:before="60" w:after="60"/>
              <w:jc w:val="center"/>
              <w:rPr>
                <w:rFonts w:ascii="Times New Roman" w:hAnsi="Times New Roman"/>
                <w:b/>
                <w:sz w:val="24"/>
                <w:szCs w:val="24"/>
              </w:rPr>
            </w:pPr>
            <w:r w:rsidRPr="00B22825">
              <w:rPr>
                <w:rFonts w:ascii="Times New Roman" w:hAnsi="Times New Roman"/>
                <w:b/>
                <w:sz w:val="24"/>
                <w:szCs w:val="24"/>
              </w:rPr>
              <w:t>Вид процедури</w:t>
            </w:r>
          </w:p>
        </w:tc>
        <w:tc>
          <w:tcPr>
            <w:tcW w:w="7371" w:type="dxa"/>
            <w:shd w:val="clear" w:color="auto" w:fill="auto"/>
            <w:vAlign w:val="center"/>
          </w:tcPr>
          <w:p w14:paraId="1048B33E" w14:textId="4DEB7CDB" w:rsidR="00FB480F" w:rsidRPr="005D4B1A" w:rsidRDefault="00FB480F" w:rsidP="00900D4D">
            <w:pPr>
              <w:pStyle w:val="ac"/>
              <w:spacing w:before="60" w:after="6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14:paraId="24E4A580" w14:textId="77777777" w:rsidTr="00A514E0">
        <w:tc>
          <w:tcPr>
            <w:tcW w:w="591" w:type="dxa"/>
            <w:shd w:val="clear" w:color="auto" w:fill="auto"/>
          </w:tcPr>
          <w:p w14:paraId="3A3888CF" w14:textId="77777777" w:rsidR="00FB480F" w:rsidRPr="00B22825" w:rsidRDefault="00FB480F" w:rsidP="00900D4D">
            <w:pPr>
              <w:pStyle w:val="ac"/>
              <w:spacing w:before="60" w:after="60"/>
              <w:jc w:val="center"/>
              <w:rPr>
                <w:rFonts w:ascii="Times New Roman" w:hAnsi="Times New Roman"/>
                <w:sz w:val="24"/>
                <w:szCs w:val="24"/>
              </w:rPr>
            </w:pPr>
            <w:r w:rsidRPr="00B22825">
              <w:rPr>
                <w:rFonts w:ascii="Times New Roman" w:hAnsi="Times New Roman"/>
                <w:sz w:val="24"/>
                <w:szCs w:val="24"/>
              </w:rPr>
              <w:t>4</w:t>
            </w:r>
          </w:p>
        </w:tc>
        <w:tc>
          <w:tcPr>
            <w:tcW w:w="2244" w:type="dxa"/>
            <w:shd w:val="clear" w:color="auto" w:fill="auto"/>
          </w:tcPr>
          <w:p w14:paraId="25E53402" w14:textId="77777777" w:rsidR="00FB480F" w:rsidRPr="00B22825" w:rsidRDefault="00FB480F" w:rsidP="00900D4D">
            <w:pPr>
              <w:pStyle w:val="ac"/>
              <w:spacing w:before="60" w:after="6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371" w:type="dxa"/>
            <w:shd w:val="clear" w:color="auto" w:fill="auto"/>
            <w:vAlign w:val="center"/>
          </w:tcPr>
          <w:p w14:paraId="6508FD27" w14:textId="229C7CF3" w:rsidR="00FB480F" w:rsidRPr="006471B5" w:rsidRDefault="006471B5" w:rsidP="00900D4D">
            <w:pPr>
              <w:pStyle w:val="ac"/>
              <w:spacing w:before="60" w:after="60"/>
              <w:rPr>
                <w:rFonts w:ascii="Times New Roman" w:hAnsi="Times New Roman"/>
                <w:sz w:val="24"/>
                <w:szCs w:val="24"/>
              </w:rPr>
            </w:pPr>
            <w:r>
              <w:rPr>
                <w:rFonts w:ascii="Times New Roman" w:hAnsi="Times New Roman"/>
                <w:sz w:val="24"/>
                <w:szCs w:val="24"/>
                <w:lang w:val="en-US"/>
              </w:rPr>
              <w:t xml:space="preserve">UA-2023-09-13-007115-a </w:t>
            </w:r>
            <w:bookmarkStart w:id="1" w:name="_GoBack"/>
            <w:bookmarkEnd w:id="1"/>
          </w:p>
        </w:tc>
      </w:tr>
      <w:tr w:rsidR="00FB480F" w:rsidRPr="00B22825" w14:paraId="585A1DAC" w14:textId="77777777" w:rsidTr="00A514E0">
        <w:trPr>
          <w:trHeight w:val="1408"/>
        </w:trPr>
        <w:tc>
          <w:tcPr>
            <w:tcW w:w="591" w:type="dxa"/>
            <w:shd w:val="clear" w:color="auto" w:fill="auto"/>
          </w:tcPr>
          <w:p w14:paraId="72ADDB4A" w14:textId="77777777" w:rsidR="00FB480F" w:rsidRPr="00B22825" w:rsidRDefault="00FB480F" w:rsidP="00900D4D">
            <w:pPr>
              <w:pStyle w:val="ac"/>
              <w:spacing w:before="60" w:after="60"/>
              <w:jc w:val="center"/>
              <w:rPr>
                <w:rFonts w:ascii="Times New Roman" w:hAnsi="Times New Roman"/>
                <w:sz w:val="24"/>
                <w:szCs w:val="24"/>
              </w:rPr>
            </w:pPr>
            <w:r w:rsidRPr="00B22825">
              <w:rPr>
                <w:rFonts w:ascii="Times New Roman" w:hAnsi="Times New Roman"/>
                <w:sz w:val="24"/>
                <w:szCs w:val="24"/>
              </w:rPr>
              <w:t>5</w:t>
            </w:r>
          </w:p>
        </w:tc>
        <w:tc>
          <w:tcPr>
            <w:tcW w:w="2244" w:type="dxa"/>
            <w:shd w:val="clear" w:color="auto" w:fill="auto"/>
          </w:tcPr>
          <w:p w14:paraId="12C2A424" w14:textId="77777777" w:rsidR="00FB480F" w:rsidRPr="00B22825" w:rsidRDefault="00FB480F" w:rsidP="00900D4D">
            <w:pPr>
              <w:pStyle w:val="ac"/>
              <w:spacing w:before="60" w:after="6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371" w:type="dxa"/>
            <w:shd w:val="clear" w:color="auto" w:fill="auto"/>
          </w:tcPr>
          <w:p w14:paraId="6AE46DED" w14:textId="2314C945" w:rsidR="00BF7BE0" w:rsidRPr="00AC0308" w:rsidRDefault="00BF7BE0" w:rsidP="00900D4D">
            <w:pPr>
              <w:pStyle w:val="ac"/>
              <w:spacing w:before="60" w:after="60"/>
              <w:jc w:val="both"/>
              <w:rPr>
                <w:rFonts w:ascii="Times New Roman" w:hAnsi="Times New Roman"/>
                <w:sz w:val="24"/>
                <w:szCs w:val="24"/>
                <w:lang w:val="en-US"/>
              </w:rPr>
            </w:pPr>
            <w:r w:rsidRPr="00BF7BE0">
              <w:rPr>
                <w:rFonts w:ascii="Times New Roman" w:hAnsi="Times New Roman"/>
                <w:sz w:val="24"/>
                <w:szCs w:val="24"/>
              </w:rPr>
              <w:t xml:space="preserve">Технічні та якісні характеристики предмета закупівлі сформовано з урахуванням </w:t>
            </w:r>
            <w:r w:rsidR="00AC0308" w:rsidRPr="00AC0308">
              <w:rPr>
                <w:rFonts w:ascii="Times New Roman" w:hAnsi="Times New Roman"/>
                <w:sz w:val="24"/>
                <w:szCs w:val="24"/>
              </w:rPr>
              <w:t xml:space="preserve">вимог </w:t>
            </w:r>
            <w:r w:rsidR="006950CD">
              <w:rPr>
                <w:rFonts w:ascii="Times New Roman" w:hAnsi="Times New Roman"/>
                <w:sz w:val="24"/>
                <w:szCs w:val="24"/>
              </w:rPr>
              <w:t>Кодексу газорозподільних систем та Кодексу газотранспортної системи.</w:t>
            </w:r>
          </w:p>
        </w:tc>
      </w:tr>
      <w:tr w:rsidR="006950CD" w:rsidRPr="00B22825" w14:paraId="4C7440DB" w14:textId="77777777" w:rsidTr="00A514E0">
        <w:tc>
          <w:tcPr>
            <w:tcW w:w="591" w:type="dxa"/>
            <w:shd w:val="clear" w:color="auto" w:fill="auto"/>
          </w:tcPr>
          <w:p w14:paraId="0485E783" w14:textId="7DFA9C30" w:rsidR="006950CD" w:rsidRDefault="00900D4D" w:rsidP="00900D4D">
            <w:pPr>
              <w:pStyle w:val="ac"/>
              <w:spacing w:before="60" w:after="60"/>
              <w:jc w:val="center"/>
              <w:rPr>
                <w:rFonts w:ascii="Times New Roman" w:hAnsi="Times New Roman"/>
                <w:sz w:val="24"/>
                <w:szCs w:val="24"/>
              </w:rPr>
            </w:pPr>
            <w:r>
              <w:rPr>
                <w:rFonts w:ascii="Times New Roman" w:hAnsi="Times New Roman"/>
                <w:sz w:val="24"/>
                <w:szCs w:val="24"/>
              </w:rPr>
              <w:t>6</w:t>
            </w:r>
          </w:p>
        </w:tc>
        <w:tc>
          <w:tcPr>
            <w:tcW w:w="2244" w:type="dxa"/>
            <w:shd w:val="clear" w:color="auto" w:fill="auto"/>
          </w:tcPr>
          <w:p w14:paraId="200F355A" w14:textId="5BAFE6E5" w:rsidR="006950CD" w:rsidRPr="00B22825" w:rsidRDefault="006950CD" w:rsidP="00900D4D">
            <w:pPr>
              <w:pStyle w:val="ac"/>
              <w:spacing w:before="60" w:after="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Обґрунтування розміру бюджетного призначення</w:t>
            </w:r>
          </w:p>
        </w:tc>
        <w:tc>
          <w:tcPr>
            <w:tcW w:w="7371" w:type="dxa"/>
            <w:shd w:val="clear" w:color="auto" w:fill="auto"/>
            <w:vAlign w:val="center"/>
          </w:tcPr>
          <w:p w14:paraId="027E9058" w14:textId="0048A404" w:rsidR="006950CD" w:rsidRPr="00B22825" w:rsidRDefault="006950CD" w:rsidP="00900D4D">
            <w:pPr>
              <w:pStyle w:val="ac"/>
              <w:spacing w:before="60" w:after="60"/>
              <w:jc w:val="both"/>
              <w:rPr>
                <w:rFonts w:ascii="Times New Roman" w:hAnsi="Times New Roman"/>
                <w:color w:val="000000"/>
                <w:sz w:val="24"/>
                <w:szCs w:val="24"/>
              </w:rPr>
            </w:pPr>
            <w:r>
              <w:rPr>
                <w:rFonts w:ascii="Times New Roman" w:hAnsi="Times New Roman"/>
                <w:color w:val="000000"/>
                <w:sz w:val="24"/>
                <w:szCs w:val="24"/>
              </w:rPr>
              <w:t xml:space="preserve">Закупівля </w:t>
            </w:r>
            <w:r w:rsidRPr="006950CD">
              <w:rPr>
                <w:rFonts w:ascii="Times New Roman" w:hAnsi="Times New Roman"/>
                <w:color w:val="000000"/>
                <w:sz w:val="24"/>
                <w:szCs w:val="24"/>
              </w:rPr>
              <w:t>Природний газ</w:t>
            </w:r>
            <w:r>
              <w:rPr>
                <w:rFonts w:ascii="Times New Roman" w:hAnsi="Times New Roman"/>
                <w:color w:val="000000"/>
                <w:sz w:val="24"/>
                <w:szCs w:val="24"/>
              </w:rPr>
              <w:t xml:space="preserve">, </w:t>
            </w:r>
            <w:r w:rsidRPr="006950CD">
              <w:rPr>
                <w:rFonts w:ascii="Times New Roman" w:hAnsi="Times New Roman"/>
                <w:color w:val="000000"/>
                <w:sz w:val="24"/>
                <w:szCs w:val="24"/>
              </w:rPr>
              <w:t>ДК 021:2015 09120000-6 – Газове паливо</w:t>
            </w:r>
            <w:r>
              <w:rPr>
                <w:rFonts w:ascii="Times New Roman" w:hAnsi="Times New Roman"/>
                <w:color w:val="000000"/>
                <w:sz w:val="24"/>
                <w:szCs w:val="24"/>
              </w:rPr>
              <w:t>,</w:t>
            </w:r>
            <w:r w:rsidRPr="006950CD">
              <w:rPr>
                <w:rFonts w:ascii="Times New Roman" w:hAnsi="Times New Roman"/>
                <w:color w:val="000000"/>
                <w:sz w:val="24"/>
                <w:szCs w:val="24"/>
              </w:rPr>
              <w:t xml:space="preserve"> здійснюється в межах запланованих видатків державної установи «Територіальне медичне об’єднання Міністерства внутрішніх справ України по Миколаївській області» на 2023 рік, відповідно до обсягів бюджетних асигнувань, визначених Законом України про державний бюджет, на відповідний бюджетний період.</w:t>
            </w:r>
          </w:p>
        </w:tc>
      </w:tr>
      <w:tr w:rsidR="00FB480F" w:rsidRPr="00B22825" w14:paraId="6881C951" w14:textId="77777777" w:rsidTr="00A514E0">
        <w:tc>
          <w:tcPr>
            <w:tcW w:w="591" w:type="dxa"/>
            <w:shd w:val="clear" w:color="auto" w:fill="auto"/>
          </w:tcPr>
          <w:p w14:paraId="67DE651D" w14:textId="40AF50FC" w:rsidR="00FB480F" w:rsidRPr="00B22825" w:rsidRDefault="00900D4D" w:rsidP="00900D4D">
            <w:pPr>
              <w:pStyle w:val="ac"/>
              <w:spacing w:before="60" w:after="60"/>
              <w:jc w:val="center"/>
              <w:rPr>
                <w:rFonts w:ascii="Times New Roman" w:hAnsi="Times New Roman"/>
                <w:sz w:val="24"/>
                <w:szCs w:val="24"/>
              </w:rPr>
            </w:pPr>
            <w:r>
              <w:rPr>
                <w:rFonts w:ascii="Times New Roman" w:hAnsi="Times New Roman"/>
                <w:sz w:val="24"/>
                <w:szCs w:val="24"/>
              </w:rPr>
              <w:t>7</w:t>
            </w:r>
          </w:p>
        </w:tc>
        <w:tc>
          <w:tcPr>
            <w:tcW w:w="2244" w:type="dxa"/>
            <w:shd w:val="clear" w:color="auto" w:fill="auto"/>
          </w:tcPr>
          <w:p w14:paraId="59D9EFA9" w14:textId="7DC8DFBA" w:rsidR="00FB480F" w:rsidRPr="00B22825" w:rsidRDefault="00FB480F" w:rsidP="00900D4D">
            <w:pPr>
              <w:pStyle w:val="ac"/>
              <w:spacing w:before="60" w:after="6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371" w:type="dxa"/>
            <w:shd w:val="clear" w:color="auto" w:fill="auto"/>
            <w:vAlign w:val="center"/>
          </w:tcPr>
          <w:p w14:paraId="18CC1657" w14:textId="3A84E721" w:rsidR="006F2221" w:rsidRPr="006F2221" w:rsidRDefault="006950CD" w:rsidP="00900D4D">
            <w:pPr>
              <w:pStyle w:val="ac"/>
              <w:spacing w:before="60" w:after="60"/>
              <w:jc w:val="both"/>
              <w:rPr>
                <w:rFonts w:ascii="Times New Roman" w:eastAsia="Times New Roman" w:hAnsi="Times New Roman"/>
                <w:color w:val="000000"/>
                <w:sz w:val="24"/>
                <w:szCs w:val="24"/>
                <w:lang w:eastAsia="ru-RU"/>
              </w:rPr>
            </w:pPr>
            <w:r w:rsidRPr="006950CD">
              <w:rPr>
                <w:rFonts w:ascii="Times New Roman" w:eastAsia="Times New Roman" w:hAnsi="Times New Roman"/>
                <w:color w:val="000000"/>
                <w:sz w:val="24"/>
                <w:szCs w:val="24"/>
                <w:lang w:eastAsia="ru-RU"/>
              </w:rPr>
              <w:t>Закупівля Природний газ, ДК 021:2015 09120000-6 – Газове паливо,</w:t>
            </w:r>
            <w:r>
              <w:rPr>
                <w:rFonts w:ascii="Times New Roman" w:eastAsia="Times New Roman" w:hAnsi="Times New Roman"/>
                <w:color w:val="000000"/>
                <w:sz w:val="24"/>
                <w:szCs w:val="24"/>
                <w:lang w:eastAsia="ru-RU"/>
              </w:rPr>
              <w:t xml:space="preserve"> </w:t>
            </w:r>
            <w:r w:rsidRPr="006950CD">
              <w:rPr>
                <w:rFonts w:ascii="Times New Roman" w:eastAsia="Times New Roman" w:hAnsi="Times New Roman"/>
                <w:color w:val="000000"/>
                <w:sz w:val="24"/>
                <w:szCs w:val="24"/>
                <w:lang w:eastAsia="ru-RU"/>
              </w:rPr>
              <w:t>проводиться в межах передбачених видатків державної установи «Територіальне медичне об’єднання Міністерства внутрішніх справ України по Миколаївській області» на 2023 рік. Очікувана вартість закупівлі розрахована на підставі ціни, затвердженої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(далі – Положення).</w:t>
            </w:r>
            <w:r>
              <w:t xml:space="preserve"> </w:t>
            </w:r>
            <w:r w:rsidRPr="006950CD">
              <w:rPr>
                <w:rFonts w:ascii="Times New Roman" w:eastAsia="Times New Roman" w:hAnsi="Times New Roman"/>
                <w:color w:val="000000"/>
                <w:sz w:val="24"/>
                <w:szCs w:val="24"/>
                <w:lang w:eastAsia="ru-RU"/>
              </w:rPr>
              <w:t>Проведен</w:t>
            </w:r>
            <w:r>
              <w:rPr>
                <w:rFonts w:ascii="Times New Roman" w:eastAsia="Times New Roman" w:hAnsi="Times New Roman"/>
                <w:color w:val="000000"/>
                <w:sz w:val="24"/>
                <w:szCs w:val="24"/>
                <w:lang w:eastAsia="ru-RU"/>
              </w:rPr>
              <w:t>им аналізом встановлено, що рівень ринков</w:t>
            </w:r>
            <w:r w:rsidR="00900D4D">
              <w:rPr>
                <w:rFonts w:ascii="Times New Roman" w:eastAsia="Times New Roman" w:hAnsi="Times New Roman"/>
                <w:color w:val="000000"/>
                <w:sz w:val="24"/>
                <w:szCs w:val="24"/>
                <w:lang w:eastAsia="ru-RU"/>
              </w:rPr>
              <w:t>их</w:t>
            </w:r>
            <w:r>
              <w:rPr>
                <w:rFonts w:ascii="Times New Roman" w:eastAsia="Times New Roman" w:hAnsi="Times New Roman"/>
                <w:color w:val="000000"/>
                <w:sz w:val="24"/>
                <w:szCs w:val="24"/>
                <w:lang w:eastAsia="ru-RU"/>
              </w:rPr>
              <w:t xml:space="preserve"> цін</w:t>
            </w:r>
            <w:r w:rsidR="00900D4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900D4D" w:rsidRPr="00900D4D">
              <w:rPr>
                <w:rFonts w:ascii="Times New Roman" w:eastAsia="Times New Roman" w:hAnsi="Times New Roman"/>
                <w:color w:val="000000"/>
                <w:sz w:val="24"/>
                <w:szCs w:val="24"/>
                <w:lang w:eastAsia="ru-RU"/>
              </w:rPr>
              <w:t>за якими наразі відбуваються закупівлі природного газу в електронній системі закупівель, у тому числі з використанням електронного каталогу</w:t>
            </w:r>
            <w:r w:rsidR="00900D4D">
              <w:rPr>
                <w:rFonts w:ascii="Times New Roman" w:eastAsia="Times New Roman" w:hAnsi="Times New Roman"/>
                <w:color w:val="000000"/>
                <w:sz w:val="24"/>
                <w:szCs w:val="24"/>
                <w:lang w:eastAsia="ru-RU"/>
              </w:rPr>
              <w:t xml:space="preserve">, є вищими за ціну, </w:t>
            </w:r>
            <w:r w:rsidR="00900D4D" w:rsidRPr="00900D4D">
              <w:rPr>
                <w:rFonts w:ascii="Times New Roman" w:eastAsia="Times New Roman" w:hAnsi="Times New Roman"/>
                <w:color w:val="000000"/>
                <w:sz w:val="24"/>
                <w:szCs w:val="24"/>
                <w:lang w:eastAsia="ru-RU"/>
              </w:rPr>
              <w:t>затверджен</w:t>
            </w:r>
            <w:r w:rsidR="00900D4D">
              <w:rPr>
                <w:rFonts w:ascii="Times New Roman" w:eastAsia="Times New Roman" w:hAnsi="Times New Roman"/>
                <w:color w:val="000000"/>
                <w:sz w:val="24"/>
                <w:szCs w:val="24"/>
                <w:lang w:eastAsia="ru-RU"/>
              </w:rPr>
              <w:t>у</w:t>
            </w:r>
            <w:r w:rsidR="00900D4D" w:rsidRPr="00900D4D">
              <w:rPr>
                <w:rFonts w:ascii="Times New Roman" w:eastAsia="Times New Roman" w:hAnsi="Times New Roman"/>
                <w:color w:val="000000"/>
                <w:sz w:val="24"/>
                <w:szCs w:val="24"/>
                <w:lang w:eastAsia="ru-RU"/>
              </w:rPr>
              <w:t xml:space="preserve"> постановою КМУ від 19.07.2022 № 812</w:t>
            </w:r>
            <w:r w:rsidR="00900D4D">
              <w:rPr>
                <w:rFonts w:ascii="Times New Roman" w:eastAsia="Times New Roman" w:hAnsi="Times New Roman"/>
                <w:color w:val="000000"/>
                <w:sz w:val="24"/>
                <w:szCs w:val="24"/>
                <w:lang w:eastAsia="ru-RU"/>
              </w:rPr>
              <w:t>. Таким чином, р</w:t>
            </w:r>
            <w:r w:rsidR="00900D4D" w:rsidRPr="00900D4D">
              <w:rPr>
                <w:rFonts w:ascii="Times New Roman" w:eastAsia="Times New Roman" w:hAnsi="Times New Roman"/>
                <w:color w:val="000000"/>
                <w:sz w:val="24"/>
                <w:szCs w:val="24"/>
                <w:lang w:eastAsia="ru-RU"/>
              </w:rPr>
              <w:t>озрахунок очікуваної вартості закупівлі на підставі ціни, затвердженої постановою КМУ від 19.07.2022 № 812, є обґрунтованим та таким, що сприяє економії бюджетних коштів за рахунок стабільності ціни та її незмінності протягом опалювального періоду 2023-2024 рр.</w:t>
            </w:r>
            <w:r w:rsidR="00900D4D">
              <w:rPr>
                <w:rFonts w:ascii="Times New Roman" w:eastAsia="Times New Roman" w:hAnsi="Times New Roman"/>
                <w:color w:val="000000"/>
                <w:sz w:val="24"/>
                <w:szCs w:val="24"/>
                <w:lang w:eastAsia="ru-RU"/>
              </w:rPr>
              <w:t xml:space="preserve"> Очікувана вартість закупівлі становить </w:t>
            </w:r>
            <w:r w:rsidR="00900D4D" w:rsidRPr="00900D4D">
              <w:rPr>
                <w:rFonts w:ascii="Times New Roman" w:eastAsia="Times New Roman" w:hAnsi="Times New Roman"/>
                <w:color w:val="000000"/>
                <w:sz w:val="24"/>
                <w:szCs w:val="24"/>
                <w:lang w:eastAsia="ru-RU"/>
              </w:rPr>
              <w:t>413 847,25</w:t>
            </w:r>
            <w:r w:rsidR="00900D4D">
              <w:rPr>
                <w:rFonts w:ascii="Times New Roman" w:eastAsia="Times New Roman" w:hAnsi="Times New Roman"/>
                <w:color w:val="000000"/>
                <w:sz w:val="24"/>
                <w:szCs w:val="24"/>
                <w:lang w:eastAsia="ru-RU"/>
              </w:rPr>
              <w:t xml:space="preserve"> грн. з ПДВ.</w:t>
            </w:r>
          </w:p>
        </w:tc>
      </w:tr>
    </w:tbl>
    <w:p w14:paraId="56150DBA" w14:textId="6B1B0C70" w:rsidR="00F65AF4" w:rsidRPr="00B22825" w:rsidRDefault="00F65AF4" w:rsidP="00A514E0">
      <w:pPr>
        <w:pStyle w:val="ac"/>
        <w:jc w:val="both"/>
        <w:rPr>
          <w:rFonts w:ascii="Times New Roman" w:hAnsi="Times New Roman"/>
          <w:sz w:val="24"/>
          <w:szCs w:val="24"/>
        </w:rPr>
      </w:pPr>
    </w:p>
    <w:sectPr w:rsidR="00F65AF4" w:rsidRPr="00B22825" w:rsidSect="00900D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E"/>
    <w:rsid w:val="00003570"/>
    <w:rsid w:val="000062C4"/>
    <w:rsid w:val="00016F3C"/>
    <w:rsid w:val="000207B3"/>
    <w:rsid w:val="00032D5F"/>
    <w:rsid w:val="00054FF7"/>
    <w:rsid w:val="00073E12"/>
    <w:rsid w:val="00081284"/>
    <w:rsid w:val="00094C95"/>
    <w:rsid w:val="00095F42"/>
    <w:rsid w:val="000B0FDC"/>
    <w:rsid w:val="000B283C"/>
    <w:rsid w:val="000C4F4F"/>
    <w:rsid w:val="000D2B32"/>
    <w:rsid w:val="000F137B"/>
    <w:rsid w:val="000F15CA"/>
    <w:rsid w:val="0012161C"/>
    <w:rsid w:val="0012201E"/>
    <w:rsid w:val="00125D20"/>
    <w:rsid w:val="00134D11"/>
    <w:rsid w:val="00144384"/>
    <w:rsid w:val="00145218"/>
    <w:rsid w:val="001758A4"/>
    <w:rsid w:val="00175D5D"/>
    <w:rsid w:val="00185099"/>
    <w:rsid w:val="00192265"/>
    <w:rsid w:val="0019423B"/>
    <w:rsid w:val="0019673C"/>
    <w:rsid w:val="001A12D4"/>
    <w:rsid w:val="001A3EF3"/>
    <w:rsid w:val="001B7FE8"/>
    <w:rsid w:val="001C2022"/>
    <w:rsid w:val="001C2225"/>
    <w:rsid w:val="001D7526"/>
    <w:rsid w:val="00203B3A"/>
    <w:rsid w:val="002168C9"/>
    <w:rsid w:val="00230252"/>
    <w:rsid w:val="00234575"/>
    <w:rsid w:val="00236819"/>
    <w:rsid w:val="00237B8A"/>
    <w:rsid w:val="00240FBC"/>
    <w:rsid w:val="00282415"/>
    <w:rsid w:val="0028630E"/>
    <w:rsid w:val="002A32B1"/>
    <w:rsid w:val="002B0D61"/>
    <w:rsid w:val="002C200B"/>
    <w:rsid w:val="002D1CBD"/>
    <w:rsid w:val="00334622"/>
    <w:rsid w:val="00343D22"/>
    <w:rsid w:val="00360DA4"/>
    <w:rsid w:val="00374C4C"/>
    <w:rsid w:val="00375305"/>
    <w:rsid w:val="00381F89"/>
    <w:rsid w:val="00392742"/>
    <w:rsid w:val="003B61B3"/>
    <w:rsid w:val="003C05F7"/>
    <w:rsid w:val="003C0624"/>
    <w:rsid w:val="003E10ED"/>
    <w:rsid w:val="00403671"/>
    <w:rsid w:val="00411593"/>
    <w:rsid w:val="00422C5E"/>
    <w:rsid w:val="00493B1B"/>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3186E"/>
    <w:rsid w:val="006471B5"/>
    <w:rsid w:val="00666532"/>
    <w:rsid w:val="006916D9"/>
    <w:rsid w:val="0069369C"/>
    <w:rsid w:val="006950CD"/>
    <w:rsid w:val="006D3C72"/>
    <w:rsid w:val="006E6FFF"/>
    <w:rsid w:val="006F2221"/>
    <w:rsid w:val="006F33B0"/>
    <w:rsid w:val="006F4C4F"/>
    <w:rsid w:val="007022C3"/>
    <w:rsid w:val="00703503"/>
    <w:rsid w:val="00705D58"/>
    <w:rsid w:val="007236EE"/>
    <w:rsid w:val="007354BF"/>
    <w:rsid w:val="00736A3B"/>
    <w:rsid w:val="00762587"/>
    <w:rsid w:val="007927AB"/>
    <w:rsid w:val="007969BD"/>
    <w:rsid w:val="007A541B"/>
    <w:rsid w:val="00803CEB"/>
    <w:rsid w:val="00831A14"/>
    <w:rsid w:val="00840ED7"/>
    <w:rsid w:val="008467AD"/>
    <w:rsid w:val="00846AC4"/>
    <w:rsid w:val="00856D12"/>
    <w:rsid w:val="008725FE"/>
    <w:rsid w:val="00886968"/>
    <w:rsid w:val="0089282F"/>
    <w:rsid w:val="008A628B"/>
    <w:rsid w:val="008B35E8"/>
    <w:rsid w:val="008C4675"/>
    <w:rsid w:val="008C5352"/>
    <w:rsid w:val="008E465E"/>
    <w:rsid w:val="008F7159"/>
    <w:rsid w:val="00900D4D"/>
    <w:rsid w:val="00901DFD"/>
    <w:rsid w:val="009030D7"/>
    <w:rsid w:val="00907E51"/>
    <w:rsid w:val="00954F32"/>
    <w:rsid w:val="00956A2B"/>
    <w:rsid w:val="00961F21"/>
    <w:rsid w:val="009809DF"/>
    <w:rsid w:val="0098218B"/>
    <w:rsid w:val="00996791"/>
    <w:rsid w:val="009A0E8B"/>
    <w:rsid w:val="009B18FA"/>
    <w:rsid w:val="009C10AD"/>
    <w:rsid w:val="009C7827"/>
    <w:rsid w:val="009E4CDB"/>
    <w:rsid w:val="00A01CDF"/>
    <w:rsid w:val="00A03BB9"/>
    <w:rsid w:val="00A10622"/>
    <w:rsid w:val="00A13268"/>
    <w:rsid w:val="00A514E0"/>
    <w:rsid w:val="00A52734"/>
    <w:rsid w:val="00A536EB"/>
    <w:rsid w:val="00A57F0D"/>
    <w:rsid w:val="00A70683"/>
    <w:rsid w:val="00A90DF4"/>
    <w:rsid w:val="00AC0308"/>
    <w:rsid w:val="00AC31D2"/>
    <w:rsid w:val="00AE08AF"/>
    <w:rsid w:val="00AF119C"/>
    <w:rsid w:val="00AF37E4"/>
    <w:rsid w:val="00B02831"/>
    <w:rsid w:val="00B22825"/>
    <w:rsid w:val="00B4271D"/>
    <w:rsid w:val="00B61875"/>
    <w:rsid w:val="00B72369"/>
    <w:rsid w:val="00B771D3"/>
    <w:rsid w:val="00B80136"/>
    <w:rsid w:val="00B804A1"/>
    <w:rsid w:val="00BD6843"/>
    <w:rsid w:val="00BE270E"/>
    <w:rsid w:val="00BE4991"/>
    <w:rsid w:val="00BF7BE0"/>
    <w:rsid w:val="00C040C6"/>
    <w:rsid w:val="00C06313"/>
    <w:rsid w:val="00C07741"/>
    <w:rsid w:val="00C161FA"/>
    <w:rsid w:val="00C20F57"/>
    <w:rsid w:val="00C86062"/>
    <w:rsid w:val="00CD5E5D"/>
    <w:rsid w:val="00CF3338"/>
    <w:rsid w:val="00D016FC"/>
    <w:rsid w:val="00D07FF5"/>
    <w:rsid w:val="00D17788"/>
    <w:rsid w:val="00D20220"/>
    <w:rsid w:val="00D27852"/>
    <w:rsid w:val="00D32609"/>
    <w:rsid w:val="00D54450"/>
    <w:rsid w:val="00D83CCE"/>
    <w:rsid w:val="00D905EA"/>
    <w:rsid w:val="00DC179B"/>
    <w:rsid w:val="00DD4CA6"/>
    <w:rsid w:val="00DE39C5"/>
    <w:rsid w:val="00DE562E"/>
    <w:rsid w:val="00DF0762"/>
    <w:rsid w:val="00E00896"/>
    <w:rsid w:val="00E0632B"/>
    <w:rsid w:val="00E202AF"/>
    <w:rsid w:val="00E37D4F"/>
    <w:rsid w:val="00E41747"/>
    <w:rsid w:val="00E507CD"/>
    <w:rsid w:val="00E95AEE"/>
    <w:rsid w:val="00EA3F85"/>
    <w:rsid w:val="00EA56A9"/>
    <w:rsid w:val="00EA589C"/>
    <w:rsid w:val="00EA7985"/>
    <w:rsid w:val="00ED12F7"/>
    <w:rsid w:val="00ED58A0"/>
    <w:rsid w:val="00F112A2"/>
    <w:rsid w:val="00F341F4"/>
    <w:rsid w:val="00F65AF4"/>
    <w:rsid w:val="00F73CB6"/>
    <w:rsid w:val="00F76ECB"/>
    <w:rsid w:val="00F87A79"/>
    <w:rsid w:val="00FB480F"/>
    <w:rsid w:val="00FB5F3C"/>
    <w:rsid w:val="00FC028D"/>
    <w:rsid w:val="00FD3ACA"/>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semiHidden/>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semiHidden/>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AF13-114F-4CAF-9568-FD6EF13B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389</Words>
  <Characters>2223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SuperUser</cp:lastModifiedBy>
  <cp:revision>12</cp:revision>
  <cp:lastPrinted>2022-11-17T12:11:00Z</cp:lastPrinted>
  <dcterms:created xsi:type="dcterms:W3CDTF">2022-11-21T10:28:00Z</dcterms:created>
  <dcterms:modified xsi:type="dcterms:W3CDTF">2023-09-14T18:47:00Z</dcterms:modified>
</cp:coreProperties>
</file>